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7E0A33">
      <w:pPr>
        <w:spacing w:after="0" w:line="240" w:lineRule="auto"/>
        <w:jc w:val="center"/>
        <w:rPr>
          <w:b/>
          <w:bCs/>
        </w:rPr>
      </w:pPr>
      <w:bookmarkStart w:id="0" w:name="_GoBack"/>
      <w:r w:rsidRPr="00AA7163">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3117" cy="1570475"/>
                    </a:xfrm>
                    <a:prstGeom prst="rect">
                      <a:avLst/>
                    </a:prstGeom>
                    <a:noFill/>
                  </pic:spPr>
                </pic:pic>
              </a:graphicData>
            </a:graphic>
          </wp:inline>
        </w:drawing>
      </w:r>
      <w:bookmarkEnd w:id="0"/>
    </w:p>
    <w:p w:rsidR="00DD3F20" w:rsidRDefault="00DD3F20" w:rsidP="007E0A33">
      <w:pPr>
        <w:spacing w:after="0" w:line="240" w:lineRule="auto"/>
        <w:jc w:val="center"/>
        <w:rPr>
          <w:b/>
          <w:bCs/>
          <w:u w:val="single"/>
          <w:lang w:val="ru-RU"/>
        </w:rPr>
      </w:pPr>
    </w:p>
    <w:p w:rsidR="0074232B" w:rsidRPr="0074232B" w:rsidRDefault="0074232B" w:rsidP="007E0A33">
      <w:pPr>
        <w:spacing w:after="0" w:line="240" w:lineRule="auto"/>
        <w:jc w:val="center"/>
        <w:rPr>
          <w:b/>
          <w:bCs/>
          <w:u w:val="single"/>
          <w:lang w:val="ru-RU"/>
        </w:rPr>
      </w:pPr>
      <w:r w:rsidRPr="0074232B">
        <w:rPr>
          <w:b/>
          <w:bCs/>
          <w:u w:val="single"/>
          <w:lang w:val="ru-RU"/>
        </w:rPr>
        <w:t>ЯК ОПЛАЧУЄТЬСЯ РОБОТА ПРАЦІВНИКІВ В НАДУРОЧНИЙ ЧАС ТА ВИХІДНІ ДНІ</w:t>
      </w:r>
    </w:p>
    <w:p w:rsidR="00503D40" w:rsidRPr="0074232B" w:rsidRDefault="00503D40" w:rsidP="007E0A33">
      <w:pPr>
        <w:spacing w:after="0" w:line="240" w:lineRule="auto"/>
        <w:jc w:val="both"/>
        <w:rPr>
          <w:b/>
          <w:bCs/>
          <w:iCs/>
          <w:lang w:val="ru-RU"/>
        </w:rPr>
      </w:pPr>
    </w:p>
    <w:p w:rsidR="0074232B" w:rsidRPr="0074232B" w:rsidRDefault="0074232B" w:rsidP="007E0A33">
      <w:pPr>
        <w:spacing w:after="0" w:line="240" w:lineRule="auto"/>
        <w:jc w:val="both"/>
        <w:rPr>
          <w:bCs/>
          <w:iCs/>
        </w:rPr>
      </w:pPr>
      <w:r>
        <w:rPr>
          <w:bCs/>
          <w:iCs/>
        </w:rPr>
        <w:t>   </w:t>
      </w:r>
      <w:r w:rsidRPr="0074232B">
        <w:rPr>
          <w:bCs/>
          <w:iCs/>
        </w:rPr>
        <w:t>Відповідно до статті 12 Закону України «Про оплату праці» норми оплати праці (за роботу в надурочний час; у святкові, неробочі та вихідні дні; у нічний час; за час простою, який мав місце не з вини працівника; при виготовленні продукції, що виявилася браком не з вини працівника; працівників, молодше вісімнадцяти років, при скороченій тривалості їх щоденної роботи тощо) і гарантії для працівників (оплата щорічних відпусток; за час виконання державних обов’язків; для тих, які направляються для підвищення кваліфікації, на обстеження в медичний заклад; для переведених за станом здоров’я на легшу нижчеоплачувану роботу; переведених тимчасово на іншу роботу у зв’язку з виробничою необхідністю; для вагітних жінок і жінок, які мають дітей віком до трьох років, переведених на легшу роботу; при різних формах виробничого навчання, перекваліфікації або навчання інших спеціальностей; для донорів тощо), а також гарантії та компенсації працівникам в разі переїзду на роботу до іншої місцевості, службових відряджень, роботи у польових умовах тощо встановлюються Кодексом законів про працю України та іншими актами законодавства України.</w:t>
      </w:r>
    </w:p>
    <w:p w:rsidR="0074232B" w:rsidRPr="0074232B" w:rsidRDefault="0074232B" w:rsidP="007E0A33">
      <w:pPr>
        <w:spacing w:after="0" w:line="240" w:lineRule="auto"/>
        <w:jc w:val="both"/>
        <w:rPr>
          <w:bCs/>
          <w:iCs/>
        </w:rPr>
      </w:pPr>
      <w:r w:rsidRPr="0074232B">
        <w:rPr>
          <w:bCs/>
          <w:iCs/>
        </w:rPr>
        <w:t>Норми і гарантії в оплаті праці, передбачені частиною першою цієї статті та Кодексом законів про працю України, є мінімальними державними гарантіями.</w:t>
      </w:r>
    </w:p>
    <w:p w:rsidR="0074232B" w:rsidRPr="0074232B" w:rsidRDefault="0074232B" w:rsidP="007E0A33">
      <w:pPr>
        <w:spacing w:after="0" w:line="240" w:lineRule="auto"/>
        <w:jc w:val="both"/>
        <w:rPr>
          <w:bCs/>
          <w:iCs/>
        </w:rPr>
      </w:pPr>
      <w:r w:rsidRPr="0074232B">
        <w:rPr>
          <w:bCs/>
          <w:iCs/>
        </w:rPr>
        <w:t>Відповідно до статті 107 КЗпП України робота у святковий і неробочий день (частина четверта статті 73) оплачується у подвійному розмірі: відрядникам - за подвійними відрядними розцінками; працівникам, праця яких оплачується за годинними або денними ставками, - у розмірі подвійної годинної або денної ставки; працівникам, які одержують місячний оклад, - у розмірі одинарної годинної або денної ставки зверх окладу, якщо робота у святковий і неробочий день провадилася у межах місячної норми робочого часу, і в розмірі подвійної годинної або денної ставки зверх окладу, якщо робота провадилася понад місячну норму.</w:t>
      </w:r>
    </w:p>
    <w:p w:rsidR="0074232B" w:rsidRPr="0074232B" w:rsidRDefault="0074232B" w:rsidP="007E0A33">
      <w:pPr>
        <w:spacing w:after="0" w:line="240" w:lineRule="auto"/>
        <w:jc w:val="both"/>
        <w:rPr>
          <w:bCs/>
          <w:iCs/>
        </w:rPr>
      </w:pPr>
      <w:r w:rsidRPr="0074232B">
        <w:rPr>
          <w:bCs/>
          <w:iCs/>
        </w:rPr>
        <w:t>Оплати у зазначеному розмірі проводяться за години, фактично відпрацьовані у святковий і неробочий день.</w:t>
      </w:r>
    </w:p>
    <w:p w:rsidR="0074232B" w:rsidRPr="0074232B" w:rsidRDefault="0074232B" w:rsidP="007E0A33">
      <w:pPr>
        <w:spacing w:after="0" w:line="240" w:lineRule="auto"/>
        <w:jc w:val="both"/>
        <w:rPr>
          <w:bCs/>
          <w:iCs/>
        </w:rPr>
      </w:pPr>
      <w:r w:rsidRPr="0074232B">
        <w:rPr>
          <w:bCs/>
          <w:iCs/>
        </w:rPr>
        <w:t>На бажання працівника, який працював у святковий і неробочий день, йому може бути наданий інший день відпочинку.</w:t>
      </w:r>
    </w:p>
    <w:p w:rsidR="0074232B" w:rsidRPr="0074232B" w:rsidRDefault="0074232B" w:rsidP="007E0A33">
      <w:pPr>
        <w:spacing w:after="0" w:line="240" w:lineRule="auto"/>
        <w:jc w:val="both"/>
        <w:rPr>
          <w:bCs/>
          <w:iCs/>
        </w:rPr>
      </w:pPr>
      <w:r w:rsidRPr="0074232B">
        <w:rPr>
          <w:bCs/>
          <w:iCs/>
        </w:rPr>
        <w:t xml:space="preserve">Як статтею 24 Закону України «Про оплату праці» так і статтею 115 КЗпП передбачено, що заробітна плата виплачується працівникам регулярно в робочі </w:t>
      </w:r>
      <w:r w:rsidRPr="0074232B">
        <w:rPr>
          <w:bCs/>
          <w:iCs/>
        </w:rPr>
        <w:lastRenderedPageBreak/>
        <w:t>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74232B" w:rsidRPr="0074232B" w:rsidRDefault="0074232B" w:rsidP="007E0A33">
      <w:pPr>
        <w:spacing w:after="0" w:line="240" w:lineRule="auto"/>
        <w:jc w:val="both"/>
        <w:rPr>
          <w:bCs/>
          <w:iCs/>
        </w:rPr>
      </w:pPr>
      <w:r w:rsidRPr="0074232B">
        <w:rPr>
          <w:bCs/>
          <w:iCs/>
        </w:rPr>
        <w:t>У разі коли день виплати заробітної плати збігається з вихідним, святковим або неробочим днем, заробітна плата виплачується напередодні.</w:t>
      </w:r>
    </w:p>
    <w:p w:rsidR="0074232B" w:rsidRPr="0074232B" w:rsidRDefault="0074232B" w:rsidP="007E0A33">
      <w:pPr>
        <w:spacing w:after="0" w:line="240" w:lineRule="auto"/>
        <w:jc w:val="both"/>
        <w:rPr>
          <w:bCs/>
          <w:iCs/>
        </w:rPr>
      </w:pPr>
      <w:r w:rsidRPr="0074232B">
        <w:rPr>
          <w:bCs/>
          <w:iCs/>
        </w:rPr>
        <w:t>Також, статтею 95 КЗпП передбачено, що заробітна плата підлягає індексації у встановленому законодавством порядку.</w:t>
      </w:r>
    </w:p>
    <w:p w:rsidR="0074232B" w:rsidRPr="0074232B" w:rsidRDefault="0074232B" w:rsidP="007E0A33">
      <w:pPr>
        <w:spacing w:after="0" w:line="240" w:lineRule="auto"/>
        <w:jc w:val="both"/>
        <w:rPr>
          <w:bCs/>
          <w:iCs/>
        </w:rPr>
      </w:pPr>
      <w:r w:rsidRPr="0074232B">
        <w:rPr>
          <w:bCs/>
          <w:iCs/>
        </w:rPr>
        <w:t>Відповідно до статті 1 Закону України Про індексацію грошових доходів населення 3 липня 1991 року № 1282-XII (далі Закон № 1282-XII) індексація грошових доходів населення - встановлений законами та іншими нормативно-правовими актами України механізм підвищення грошових доходів населення, що дає можливість частково або повністю відшкодовувати подорожчання споживчих товарів і послуг.</w:t>
      </w:r>
    </w:p>
    <w:p w:rsidR="0074232B" w:rsidRPr="0074232B" w:rsidRDefault="0074232B" w:rsidP="007E0A33">
      <w:pPr>
        <w:spacing w:after="0" w:line="240" w:lineRule="auto"/>
        <w:jc w:val="both"/>
        <w:rPr>
          <w:bCs/>
          <w:iCs/>
        </w:rPr>
      </w:pPr>
      <w:r w:rsidRPr="0074232B">
        <w:rPr>
          <w:bCs/>
          <w:iCs/>
        </w:rPr>
        <w:t>Статтею 2 Закону № 1282-XII передбачено, що індексації підлягають грошові доходи громадян, одержані ними в гривнях на території України і які не мають разового характеру, зокрема, оплата праці (грошове забезпечення).</w:t>
      </w:r>
    </w:p>
    <w:p w:rsidR="0074232B" w:rsidRPr="0074232B" w:rsidRDefault="0074232B" w:rsidP="007E0A33">
      <w:pPr>
        <w:spacing w:after="0" w:line="240" w:lineRule="auto"/>
        <w:jc w:val="both"/>
        <w:rPr>
          <w:bCs/>
          <w:iCs/>
        </w:rPr>
      </w:pPr>
      <w:r w:rsidRPr="0074232B">
        <w:rPr>
          <w:bCs/>
          <w:iCs/>
        </w:rPr>
        <w:t>Відповідно до статті 10 Закону № 1282-XII індексація доходів працюючого населення проводиться за основним місцем роботи.</w:t>
      </w:r>
    </w:p>
    <w:p w:rsidR="0074232B" w:rsidRPr="0074232B" w:rsidRDefault="0074232B" w:rsidP="007E0A33">
      <w:pPr>
        <w:spacing w:after="0" w:line="240" w:lineRule="auto"/>
        <w:jc w:val="both"/>
        <w:rPr>
          <w:bCs/>
          <w:iCs/>
        </w:rPr>
      </w:pPr>
      <w:r w:rsidRPr="0074232B">
        <w:rPr>
          <w:bCs/>
          <w:iCs/>
        </w:rPr>
        <w:t>Згідно зі статтею 15 Закону № 1282-XII за порушення законодавства про індексацію грошових доходів населення винні особи притягаються до відповідальності відповідно до закону.</w:t>
      </w:r>
    </w:p>
    <w:p w:rsidR="0074232B" w:rsidRPr="0074232B" w:rsidRDefault="0074232B" w:rsidP="007E0A33">
      <w:pPr>
        <w:spacing w:after="0" w:line="240" w:lineRule="auto"/>
        <w:jc w:val="both"/>
        <w:rPr>
          <w:bCs/>
          <w:iCs/>
        </w:rPr>
      </w:pPr>
      <w:r w:rsidRPr="0074232B">
        <w:rPr>
          <w:bCs/>
          <w:iCs/>
        </w:rPr>
        <w:t>Частиною другою статті 265 КЗпП України передбачено відповідальність юридичних та фізичних осіб – підприємців, які використовують найману працю, за порушення вимог законодавства про працю, зокрема згідно абзаців 4, 8 вказаної частини юридичні та фізичні особи-підприємці, які використовують найману працю, несуть відповідальність у вигляді штрафу у разі:</w:t>
      </w:r>
    </w:p>
    <w:p w:rsidR="0074232B" w:rsidRPr="0074232B" w:rsidRDefault="0074232B" w:rsidP="007E0A33">
      <w:pPr>
        <w:spacing w:after="0" w:line="240" w:lineRule="auto"/>
        <w:jc w:val="both"/>
        <w:rPr>
          <w:bCs/>
          <w:iCs/>
        </w:rPr>
      </w:pPr>
      <w:r w:rsidRPr="0074232B">
        <w:rPr>
          <w:bCs/>
          <w:iCs/>
        </w:rPr>
        <w:t>недотримання мінімальних державних гарантій в оплаті праці - у десятикратному розмірі мінімальної заробітної плати, встановленої законом на момент виявлення порушення, за кожного працівника, щодо якого скоєно порушення;</w:t>
      </w:r>
    </w:p>
    <w:p w:rsidR="0074232B" w:rsidRPr="0074232B" w:rsidRDefault="0074232B" w:rsidP="007E0A33">
      <w:pPr>
        <w:spacing w:after="0" w:line="240" w:lineRule="auto"/>
        <w:jc w:val="both"/>
        <w:rPr>
          <w:bCs/>
          <w:iCs/>
        </w:rPr>
      </w:pPr>
      <w:r w:rsidRPr="0074232B">
        <w:rPr>
          <w:bCs/>
          <w:iCs/>
        </w:rPr>
        <w:t>порушення інших вимог трудового законодавства, крім передбачених абзацами другим - сьомим цієї частини, - у розмірі мінімальної заробітної плати.</w:t>
      </w:r>
    </w:p>
    <w:p w:rsidR="00006785" w:rsidRPr="0074232B" w:rsidRDefault="00006785" w:rsidP="007E0A33">
      <w:pPr>
        <w:spacing w:after="0" w:line="240" w:lineRule="auto"/>
        <w:jc w:val="both"/>
        <w:rPr>
          <w:bCs/>
          <w:iCs/>
          <w:lang w:val="ru-RU"/>
        </w:rPr>
      </w:pPr>
    </w:p>
    <w:p w:rsidR="00A65CC2" w:rsidRPr="007E562B" w:rsidRDefault="009C4DDE" w:rsidP="007E0A33">
      <w:pPr>
        <w:spacing w:after="0" w:line="240" w:lineRule="auto"/>
        <w:jc w:val="both"/>
        <w:rPr>
          <w:bCs/>
          <w:iCs/>
        </w:rPr>
      </w:pPr>
      <w:r w:rsidRPr="007E562B">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7E0A33">
        <w:rPr>
          <w:b/>
          <w:bCs/>
          <w:iCs/>
          <w:lang w:val="ru-RU"/>
        </w:rPr>
        <w:t xml:space="preserve">            </w:t>
      </w:r>
      <w:r w:rsidRPr="007E562B">
        <w:rPr>
          <w:b/>
          <w:bCs/>
          <w:iCs/>
        </w:rPr>
        <w:t>вул. Покровська, 5. тел. (05758) 3-01-82, 3-03-25.</w:t>
      </w:r>
    </w:p>
    <w:p w:rsidR="009C4DDE" w:rsidRPr="007E562B" w:rsidRDefault="009C4DDE" w:rsidP="007E0A33">
      <w:pPr>
        <w:spacing w:after="0" w:line="240" w:lineRule="auto"/>
        <w:jc w:val="both"/>
        <w:rPr>
          <w:b/>
          <w:bCs/>
          <w:iCs/>
        </w:rPr>
      </w:pPr>
      <w:r w:rsidRPr="007E562B">
        <w:rPr>
          <w:b/>
          <w:bCs/>
          <w:iCs/>
        </w:rPr>
        <w:t xml:space="preserve">Єдиний телефонний номер системи безоплатної правової допомоги </w:t>
      </w:r>
      <w:r w:rsidR="007E0A33">
        <w:rPr>
          <w:b/>
          <w:bCs/>
          <w:iCs/>
          <w:lang w:val="ru-RU"/>
        </w:rPr>
        <w:t xml:space="preserve">                      </w:t>
      </w:r>
      <w:r w:rsidRPr="007E562B">
        <w:rPr>
          <w:b/>
          <w:bCs/>
          <w:iCs/>
        </w:rPr>
        <w:t>0-800-213-103 (безкоштовно зі стаціонарних та мобільних телефонів).</w:t>
      </w:r>
    </w:p>
    <w:p w:rsidR="00503D40" w:rsidRPr="007E562B" w:rsidRDefault="00503D40" w:rsidP="007E0A33">
      <w:pPr>
        <w:spacing w:after="0" w:line="240" w:lineRule="auto"/>
        <w:jc w:val="both"/>
        <w:rPr>
          <w:bCs/>
          <w:iCs/>
        </w:rPr>
      </w:pPr>
    </w:p>
    <w:sectPr w:rsidR="00503D40" w:rsidRPr="007E562B" w:rsidSect="007E0A3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47E" w:rsidRDefault="00F1247E" w:rsidP="00396E85">
      <w:pPr>
        <w:spacing w:after="0" w:line="240" w:lineRule="auto"/>
      </w:pPr>
      <w:r>
        <w:separator/>
      </w:r>
    </w:p>
  </w:endnote>
  <w:endnote w:type="continuationSeparator" w:id="1">
    <w:p w:rsidR="00F1247E" w:rsidRDefault="00F1247E"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47E" w:rsidRDefault="00F1247E" w:rsidP="00396E85">
      <w:pPr>
        <w:spacing w:after="0" w:line="240" w:lineRule="auto"/>
      </w:pPr>
      <w:r>
        <w:separator/>
      </w:r>
    </w:p>
  </w:footnote>
  <w:footnote w:type="continuationSeparator" w:id="1">
    <w:p w:rsidR="00F1247E" w:rsidRDefault="00F1247E"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num>
  <w:num w:numId="5">
    <w:abstractNumId w:val="11"/>
  </w:num>
  <w:num w:numId="6">
    <w:abstractNumId w:val="0"/>
  </w:num>
  <w:num w:numId="7">
    <w:abstractNumId w:val="13"/>
  </w:num>
  <w:num w:numId="8">
    <w:abstractNumId w:val="2"/>
    <w:lvlOverride w:ilvl="0">
      <w:startOverride w:val="2"/>
    </w:lvlOverride>
  </w:num>
  <w:num w:numId="9">
    <w:abstractNumId w:val="10"/>
  </w:num>
  <w:num w:numId="10">
    <w:abstractNumId w:val="3"/>
  </w:num>
  <w:num w:numId="11">
    <w:abstractNumId w:val="6"/>
  </w:num>
  <w:num w:numId="12">
    <w:abstractNumId w:val="4"/>
  </w:num>
  <w:num w:numId="13">
    <w:abstractNumId w:val="5"/>
  </w:num>
  <w:num w:numId="1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420B9"/>
    <w:rsid w:val="00054A68"/>
    <w:rsid w:val="000613D1"/>
    <w:rsid w:val="00064F61"/>
    <w:rsid w:val="00070AC9"/>
    <w:rsid w:val="00082188"/>
    <w:rsid w:val="00083133"/>
    <w:rsid w:val="00097B1F"/>
    <w:rsid w:val="00097F23"/>
    <w:rsid w:val="000A3458"/>
    <w:rsid w:val="000B5A7C"/>
    <w:rsid w:val="000C0344"/>
    <w:rsid w:val="000C2391"/>
    <w:rsid w:val="000D3917"/>
    <w:rsid w:val="000E6FCD"/>
    <w:rsid w:val="001013C0"/>
    <w:rsid w:val="00117A2C"/>
    <w:rsid w:val="00135747"/>
    <w:rsid w:val="0014245C"/>
    <w:rsid w:val="00147C78"/>
    <w:rsid w:val="00175DAB"/>
    <w:rsid w:val="00183965"/>
    <w:rsid w:val="001B0680"/>
    <w:rsid w:val="001B2BBD"/>
    <w:rsid w:val="001D0915"/>
    <w:rsid w:val="001D0E51"/>
    <w:rsid w:val="001D3418"/>
    <w:rsid w:val="00200BCC"/>
    <w:rsid w:val="00205573"/>
    <w:rsid w:val="00227875"/>
    <w:rsid w:val="00230CE0"/>
    <w:rsid w:val="0023568F"/>
    <w:rsid w:val="002372B3"/>
    <w:rsid w:val="002501B8"/>
    <w:rsid w:val="00267F55"/>
    <w:rsid w:val="002750FC"/>
    <w:rsid w:val="0028644C"/>
    <w:rsid w:val="0029390A"/>
    <w:rsid w:val="00294A20"/>
    <w:rsid w:val="00296F9E"/>
    <w:rsid w:val="002C19EB"/>
    <w:rsid w:val="002D0778"/>
    <w:rsid w:val="002E1A3A"/>
    <w:rsid w:val="002F6987"/>
    <w:rsid w:val="00302532"/>
    <w:rsid w:val="003265EE"/>
    <w:rsid w:val="003268E2"/>
    <w:rsid w:val="00342392"/>
    <w:rsid w:val="00356A29"/>
    <w:rsid w:val="00362818"/>
    <w:rsid w:val="0036583B"/>
    <w:rsid w:val="00386D6B"/>
    <w:rsid w:val="003932FB"/>
    <w:rsid w:val="00396E85"/>
    <w:rsid w:val="003C18DC"/>
    <w:rsid w:val="003C607B"/>
    <w:rsid w:val="003D71DF"/>
    <w:rsid w:val="003F0FB7"/>
    <w:rsid w:val="003F689F"/>
    <w:rsid w:val="004072A9"/>
    <w:rsid w:val="004153B5"/>
    <w:rsid w:val="00436B36"/>
    <w:rsid w:val="004400EA"/>
    <w:rsid w:val="00445706"/>
    <w:rsid w:val="00464D7B"/>
    <w:rsid w:val="004C5554"/>
    <w:rsid w:val="004E02A0"/>
    <w:rsid w:val="004E2EB0"/>
    <w:rsid w:val="004F5A68"/>
    <w:rsid w:val="00503D40"/>
    <w:rsid w:val="00512D19"/>
    <w:rsid w:val="00521762"/>
    <w:rsid w:val="00543462"/>
    <w:rsid w:val="00564C23"/>
    <w:rsid w:val="0056505A"/>
    <w:rsid w:val="00581428"/>
    <w:rsid w:val="00582AE1"/>
    <w:rsid w:val="0058420A"/>
    <w:rsid w:val="00594FB0"/>
    <w:rsid w:val="005B0196"/>
    <w:rsid w:val="005B286B"/>
    <w:rsid w:val="005C285B"/>
    <w:rsid w:val="005F2C3C"/>
    <w:rsid w:val="005F4CB5"/>
    <w:rsid w:val="0060604F"/>
    <w:rsid w:val="006139E6"/>
    <w:rsid w:val="00613D99"/>
    <w:rsid w:val="006159CD"/>
    <w:rsid w:val="0064752C"/>
    <w:rsid w:val="00652C84"/>
    <w:rsid w:val="00683712"/>
    <w:rsid w:val="00686240"/>
    <w:rsid w:val="0068665D"/>
    <w:rsid w:val="00693AE3"/>
    <w:rsid w:val="006B2702"/>
    <w:rsid w:val="006E2F36"/>
    <w:rsid w:val="0074164D"/>
    <w:rsid w:val="0074232B"/>
    <w:rsid w:val="007570FA"/>
    <w:rsid w:val="00773184"/>
    <w:rsid w:val="00790D6F"/>
    <w:rsid w:val="00791F32"/>
    <w:rsid w:val="007B613F"/>
    <w:rsid w:val="007D12C9"/>
    <w:rsid w:val="007D4A2D"/>
    <w:rsid w:val="007E0A33"/>
    <w:rsid w:val="007E562B"/>
    <w:rsid w:val="007E75B9"/>
    <w:rsid w:val="007F73C1"/>
    <w:rsid w:val="00820CCF"/>
    <w:rsid w:val="00861EF5"/>
    <w:rsid w:val="00893D3A"/>
    <w:rsid w:val="008C1418"/>
    <w:rsid w:val="008C4A45"/>
    <w:rsid w:val="008D1E38"/>
    <w:rsid w:val="008D4863"/>
    <w:rsid w:val="008D6210"/>
    <w:rsid w:val="008D68C1"/>
    <w:rsid w:val="008E4942"/>
    <w:rsid w:val="009227CD"/>
    <w:rsid w:val="00927F1C"/>
    <w:rsid w:val="009500A6"/>
    <w:rsid w:val="00950525"/>
    <w:rsid w:val="009821A2"/>
    <w:rsid w:val="00984241"/>
    <w:rsid w:val="009A22FE"/>
    <w:rsid w:val="009B442C"/>
    <w:rsid w:val="009C4DDE"/>
    <w:rsid w:val="009C7D75"/>
    <w:rsid w:val="009E79CB"/>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7798A"/>
    <w:rsid w:val="00B81366"/>
    <w:rsid w:val="00BA63E5"/>
    <w:rsid w:val="00BA7485"/>
    <w:rsid w:val="00BC2274"/>
    <w:rsid w:val="00BD3038"/>
    <w:rsid w:val="00BD45BC"/>
    <w:rsid w:val="00BE4D18"/>
    <w:rsid w:val="00BE7799"/>
    <w:rsid w:val="00C178B2"/>
    <w:rsid w:val="00C248FA"/>
    <w:rsid w:val="00C30033"/>
    <w:rsid w:val="00C36E67"/>
    <w:rsid w:val="00C5202F"/>
    <w:rsid w:val="00C57C52"/>
    <w:rsid w:val="00C6766F"/>
    <w:rsid w:val="00C73326"/>
    <w:rsid w:val="00C76D26"/>
    <w:rsid w:val="00CB2F44"/>
    <w:rsid w:val="00CC60C4"/>
    <w:rsid w:val="00CD4CF3"/>
    <w:rsid w:val="00CE5234"/>
    <w:rsid w:val="00CF5683"/>
    <w:rsid w:val="00CF7222"/>
    <w:rsid w:val="00CF7288"/>
    <w:rsid w:val="00D002CB"/>
    <w:rsid w:val="00D07676"/>
    <w:rsid w:val="00D14B3A"/>
    <w:rsid w:val="00D14CEC"/>
    <w:rsid w:val="00D35D42"/>
    <w:rsid w:val="00D37FD4"/>
    <w:rsid w:val="00D4040D"/>
    <w:rsid w:val="00D667E0"/>
    <w:rsid w:val="00D70447"/>
    <w:rsid w:val="00D76B88"/>
    <w:rsid w:val="00D7747B"/>
    <w:rsid w:val="00D84149"/>
    <w:rsid w:val="00D86BB1"/>
    <w:rsid w:val="00D9169F"/>
    <w:rsid w:val="00DB187A"/>
    <w:rsid w:val="00DD3F20"/>
    <w:rsid w:val="00DF5BD9"/>
    <w:rsid w:val="00E120CB"/>
    <w:rsid w:val="00E125B2"/>
    <w:rsid w:val="00E26077"/>
    <w:rsid w:val="00E31BE8"/>
    <w:rsid w:val="00E50BA1"/>
    <w:rsid w:val="00E54591"/>
    <w:rsid w:val="00E61996"/>
    <w:rsid w:val="00E83CEA"/>
    <w:rsid w:val="00E93988"/>
    <w:rsid w:val="00EA15D1"/>
    <w:rsid w:val="00EA2BF0"/>
    <w:rsid w:val="00EA5A08"/>
    <w:rsid w:val="00EB3044"/>
    <w:rsid w:val="00EC32DE"/>
    <w:rsid w:val="00EC6192"/>
    <w:rsid w:val="00ED5C6F"/>
    <w:rsid w:val="00EE1B62"/>
    <w:rsid w:val="00EF36D4"/>
    <w:rsid w:val="00F02ECA"/>
    <w:rsid w:val="00F1247E"/>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A66C1"/>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80"/>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Ксения</cp:lastModifiedBy>
  <cp:revision>4</cp:revision>
  <cp:lastPrinted>2018-04-17T05:49:00Z</cp:lastPrinted>
  <dcterms:created xsi:type="dcterms:W3CDTF">2018-08-14T19:43:00Z</dcterms:created>
  <dcterms:modified xsi:type="dcterms:W3CDTF">2018-08-14T19:46:00Z</dcterms:modified>
</cp:coreProperties>
</file>